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E4" w:rsidRDefault="000D5D63">
      <w:pPr>
        <w:pStyle w:val="berschrift1"/>
        <w:spacing w:after="0" w:line="276" w:lineRule="auto"/>
        <w:rPr>
          <w:rFonts w:ascii="Arial" w:eastAsia="Arial" w:hAnsi="Arial" w:cs="Arial"/>
          <w:sz w:val="40"/>
          <w:szCs w:val="40"/>
        </w:rPr>
      </w:pPr>
      <w:bookmarkStart w:id="0" w:name="_heading=h.gdxg6xw58cfy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40"/>
          <w:szCs w:val="40"/>
        </w:rPr>
        <w:t>ICBUW-Workshop: „</w:t>
      </w:r>
      <w:r w:rsidR="00AD5D0B">
        <w:rPr>
          <w:rFonts w:ascii="Arial" w:eastAsia="Arial" w:hAnsi="Arial" w:cs="Arial"/>
          <w:sz w:val="40"/>
          <w:szCs w:val="40"/>
        </w:rPr>
        <w:t>Ächtung</w:t>
      </w:r>
      <w:r>
        <w:rPr>
          <w:rFonts w:ascii="Arial" w:eastAsia="Arial" w:hAnsi="Arial" w:cs="Arial"/>
          <w:sz w:val="40"/>
          <w:szCs w:val="40"/>
        </w:rPr>
        <w:t xml:space="preserve"> von </w:t>
      </w:r>
      <w:r w:rsidR="00AD5D0B">
        <w:rPr>
          <w:rFonts w:ascii="Arial" w:eastAsia="Arial" w:hAnsi="Arial" w:cs="Arial"/>
          <w:sz w:val="40"/>
          <w:szCs w:val="40"/>
        </w:rPr>
        <w:t>Uranw</w:t>
      </w:r>
      <w:r>
        <w:rPr>
          <w:rFonts w:ascii="Arial" w:eastAsia="Arial" w:hAnsi="Arial" w:cs="Arial"/>
          <w:sz w:val="40"/>
          <w:szCs w:val="40"/>
        </w:rPr>
        <w:t xml:space="preserve">affen – Hilfe für </w:t>
      </w:r>
      <w:r w:rsidR="00AD5D0B">
        <w:rPr>
          <w:rFonts w:ascii="Arial" w:eastAsia="Arial" w:hAnsi="Arial" w:cs="Arial"/>
          <w:sz w:val="40"/>
          <w:szCs w:val="40"/>
        </w:rPr>
        <w:t xml:space="preserve">die </w:t>
      </w:r>
      <w:r>
        <w:rPr>
          <w:rFonts w:ascii="Arial" w:eastAsia="Arial" w:hAnsi="Arial" w:cs="Arial"/>
          <w:sz w:val="40"/>
          <w:szCs w:val="40"/>
        </w:rPr>
        <w:t>Opfer”</w:t>
      </w:r>
    </w:p>
    <w:p w:rsidR="004301E4" w:rsidRDefault="000D5D63">
      <w:r>
        <w:t>___________________________________________________________________________</w:t>
      </w:r>
    </w:p>
    <w:p w:rsidR="004301E4" w:rsidRDefault="004301E4"/>
    <w:p w:rsidR="004301E4" w:rsidRDefault="000D5D6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Datum, Uhrzeit: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9. Oktober 2025, 14:00 Uhr</w:t>
      </w:r>
    </w:p>
    <w:p w:rsidR="004301E4" w:rsidRDefault="000D5D6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Ort: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Marienstraße 19/20, 10117 Berlin, Konferenzraum</w:t>
      </w:r>
    </w:p>
    <w:p w:rsidR="004301E4" w:rsidRPr="00AD5D0B" w:rsidRDefault="000D5D63">
      <w:pPr>
        <w:spacing w:line="276" w:lineRule="auto"/>
        <w:rPr>
          <w:rFonts w:ascii="Arial" w:eastAsia="Arial" w:hAnsi="Arial" w:cs="Arial"/>
          <w:lang w:val="en-US"/>
        </w:rPr>
      </w:pPr>
      <w:r w:rsidRPr="00AD5D0B">
        <w:rPr>
          <w:rFonts w:ascii="Arial" w:eastAsia="Arial" w:hAnsi="Arial" w:cs="Arial"/>
          <w:b/>
          <w:lang w:val="en-US"/>
        </w:rPr>
        <w:t>Zoom</w:t>
      </w:r>
      <w:r w:rsidR="00AD5D0B" w:rsidRPr="00AD5D0B">
        <w:rPr>
          <w:rFonts w:ascii="Arial" w:eastAsia="Arial" w:hAnsi="Arial" w:cs="Arial"/>
          <w:b/>
          <w:lang w:val="en-US"/>
        </w:rPr>
        <w:t xml:space="preserve"> (hybrid)</w:t>
      </w:r>
      <w:r w:rsidR="00AD5D0B">
        <w:rPr>
          <w:rFonts w:ascii="Arial" w:eastAsia="Arial" w:hAnsi="Arial" w:cs="Arial"/>
          <w:b/>
          <w:lang w:val="en-US"/>
        </w:rPr>
        <w:t xml:space="preserve">: </w:t>
      </w:r>
      <w:r w:rsidRPr="00AD5D0B">
        <w:rPr>
          <w:rFonts w:ascii="Arial" w:eastAsia="Arial" w:hAnsi="Arial" w:cs="Arial"/>
          <w:b/>
          <w:lang w:val="en-US"/>
        </w:rPr>
        <w:tab/>
      </w:r>
      <w:hyperlink r:id="rId9">
        <w:r w:rsidRPr="00AD5D0B">
          <w:rPr>
            <w:rFonts w:ascii="Arial" w:eastAsia="Arial" w:hAnsi="Arial" w:cs="Arial"/>
            <w:color w:val="1155CC"/>
            <w:u w:val="single"/>
            <w:lang w:val="en-US"/>
          </w:rPr>
          <w:t>https://us02web.zoom.us/j/83804993070</w:t>
        </w:r>
      </w:hyperlink>
      <w:r w:rsidRPr="00AD5D0B">
        <w:rPr>
          <w:rFonts w:ascii="Arial" w:eastAsia="Arial" w:hAnsi="Arial" w:cs="Arial"/>
          <w:lang w:val="en-US"/>
        </w:rPr>
        <w:t xml:space="preserve"> </w:t>
      </w:r>
    </w:p>
    <w:p w:rsidR="004301E4" w:rsidRDefault="000D5D6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Sprache: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Englisch (deutsche Übersetzung auf Anfrage verfügbar)</w:t>
      </w:r>
    </w:p>
    <w:p w:rsidR="004301E4" w:rsidRDefault="000D5D63">
      <w:pPr>
        <w:rPr>
          <w:rFonts w:ascii="Arial" w:eastAsia="Arial" w:hAnsi="Arial" w:cs="Arial"/>
        </w:rPr>
      </w:pPr>
      <w:r>
        <w:t>___________________________________________________________________________</w:t>
      </w:r>
    </w:p>
    <w:p w:rsidR="004301E4" w:rsidRDefault="004301E4">
      <w:pPr>
        <w:spacing w:after="200" w:line="276" w:lineRule="auto"/>
        <w:rPr>
          <w:rFonts w:ascii="Arial" w:eastAsia="Arial" w:hAnsi="Arial" w:cs="Arial"/>
          <w:b/>
        </w:rPr>
      </w:pPr>
    </w:p>
    <w:p w:rsidR="004301E4" w:rsidRDefault="000D5D63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Rahmen und Hintergrun</w:t>
      </w:r>
      <w:r>
        <w:rPr>
          <w:rFonts w:ascii="Arial" w:eastAsia="Arial" w:hAnsi="Arial" w:cs="Arial"/>
          <w:b/>
        </w:rPr>
        <w:t>d:</w:t>
      </w:r>
    </w:p>
    <w:p w:rsidR="004301E4" w:rsidRDefault="000D5D63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Thema Uran- bzw. DU</w:t>
      </w:r>
      <w:r w:rsidR="00AD5D0B">
        <w:rPr>
          <w:rFonts w:ascii="Arial" w:eastAsia="Arial" w:hAnsi="Arial" w:cs="Arial"/>
        </w:rPr>
        <w:t xml:space="preserve"> (</w:t>
      </w:r>
      <w:proofErr w:type="spellStart"/>
      <w:r w:rsidR="00AD5D0B">
        <w:rPr>
          <w:rFonts w:ascii="Arial" w:eastAsia="Arial" w:hAnsi="Arial" w:cs="Arial"/>
        </w:rPr>
        <w:t>depleted</w:t>
      </w:r>
      <w:proofErr w:type="spellEnd"/>
      <w:r w:rsidR="00AD5D0B">
        <w:rPr>
          <w:rFonts w:ascii="Arial" w:eastAsia="Arial" w:hAnsi="Arial" w:cs="Arial"/>
        </w:rPr>
        <w:t xml:space="preserve"> </w:t>
      </w:r>
      <w:proofErr w:type="spellStart"/>
      <w:r w:rsidR="00AD5D0B">
        <w:rPr>
          <w:rFonts w:ascii="Arial" w:eastAsia="Arial" w:hAnsi="Arial" w:cs="Arial"/>
        </w:rPr>
        <w:t>uranium</w:t>
      </w:r>
      <w:proofErr w:type="spellEnd"/>
      <w:r w:rsidR="00AD5D0B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-Waffen ist im Zusammenhang mit dem Krieg in der Ukraine wieder aktuell geworden. Der Westen hat DU-Munition an die Ukraine geliefert, während Russland ebenfalls über </w:t>
      </w:r>
      <w:r w:rsidR="001005A4">
        <w:rPr>
          <w:rFonts w:ascii="Arial" w:eastAsia="Arial" w:hAnsi="Arial" w:cs="Arial"/>
        </w:rPr>
        <w:t>entsprechende Waffen in seinen</w:t>
      </w:r>
      <w:r>
        <w:rPr>
          <w:rFonts w:ascii="Arial" w:eastAsia="Arial" w:hAnsi="Arial" w:cs="Arial"/>
        </w:rPr>
        <w:t xml:space="preserve"> Arsenal</w:t>
      </w:r>
      <w:r w:rsidR="001005A4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verfügt, sodass insgesamt die</w:t>
      </w:r>
      <w:r>
        <w:rPr>
          <w:rFonts w:ascii="Arial" w:eastAsia="Arial" w:hAnsi="Arial" w:cs="Arial"/>
        </w:rPr>
        <w:t xml:space="preserve"> Befürchtung einer „DU-Renaissance” besteht. Auf der a</w:t>
      </w:r>
      <w:r w:rsidR="00AD5D0B">
        <w:rPr>
          <w:rFonts w:ascii="Arial" w:eastAsia="Arial" w:hAnsi="Arial" w:cs="Arial"/>
        </w:rPr>
        <w:t>nderen Seite ist der Prozess zur</w:t>
      </w:r>
      <w:r>
        <w:rPr>
          <w:rFonts w:ascii="Arial" w:eastAsia="Arial" w:hAnsi="Arial" w:cs="Arial"/>
        </w:rPr>
        <w:t xml:space="preserve"> </w:t>
      </w:r>
      <w:r w:rsidR="00AD5D0B">
        <w:rPr>
          <w:rFonts w:ascii="Arial" w:eastAsia="Arial" w:hAnsi="Arial" w:cs="Arial"/>
        </w:rPr>
        <w:t>Ächtung</w:t>
      </w:r>
      <w:r>
        <w:rPr>
          <w:rFonts w:ascii="Arial" w:eastAsia="Arial" w:hAnsi="Arial" w:cs="Arial"/>
        </w:rPr>
        <w:t xml:space="preserve"> von DU-Waffen vorangeschritten, wobei sich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ICBUW</w:t>
        </w:r>
      </w:hyperlink>
      <w:r>
        <w:rPr>
          <w:rFonts w:ascii="Arial" w:eastAsia="Arial" w:hAnsi="Arial" w:cs="Arial"/>
        </w:rPr>
        <w:t xml:space="preserve"> zu einer globalen Anlaufstelle für dieses Thema entwickelt hat. V</w:t>
      </w:r>
      <w:r>
        <w:rPr>
          <w:rFonts w:ascii="Arial" w:eastAsia="Arial" w:hAnsi="Arial" w:cs="Arial"/>
        </w:rPr>
        <w:t xml:space="preserve">or dem Hintergrund regelmäßig verabschiedeter Resolutionen der UN-Generalversammlung zu diesem Thema (siehe die jüngste Resolution vom Dezember 2024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hier</w:t>
        </w:r>
      </w:hyperlink>
      <w:r>
        <w:rPr>
          <w:rFonts w:ascii="Arial" w:eastAsia="Arial" w:hAnsi="Arial" w:cs="Arial"/>
        </w:rPr>
        <w:t>) und beispielswe</w:t>
      </w:r>
      <w:r>
        <w:rPr>
          <w:rFonts w:ascii="Arial" w:eastAsia="Arial" w:hAnsi="Arial" w:cs="Arial"/>
        </w:rPr>
        <w:t>ise des Entwurfs der ILC</w:t>
      </w:r>
      <w:r w:rsidR="00A3747C">
        <w:rPr>
          <w:rFonts w:ascii="Arial" w:eastAsia="Arial" w:hAnsi="Arial" w:cs="Arial"/>
        </w:rPr>
        <w:t xml:space="preserve"> (UN-Völkerrechtskommission)</w:t>
      </w:r>
      <w:r>
        <w:rPr>
          <w:rFonts w:ascii="Arial" w:eastAsia="Arial" w:hAnsi="Arial" w:cs="Arial"/>
        </w:rPr>
        <w:t xml:space="preserve"> für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Grundsätze zum Schutz der Umwelt in bewaffneten Konflikten</w:t>
        </w:r>
      </w:hyperlink>
      <w:r>
        <w:rPr>
          <w:rFonts w:ascii="Arial" w:eastAsia="Arial" w:hAnsi="Arial" w:cs="Arial"/>
        </w:rPr>
        <w:t xml:space="preserve"> (PERAC) scheint es (erneut) an der Zeit, von der ICBUW ausgearbeitete </w:t>
      </w:r>
      <w:r>
        <w:rPr>
          <w:rFonts w:ascii="Arial" w:eastAsia="Arial" w:hAnsi="Arial" w:cs="Arial"/>
        </w:rPr>
        <w:t xml:space="preserve">Instrumentenentwürfe wie den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Konventionsentwurf</w:t>
        </w:r>
      </w:hyperlink>
      <w:r>
        <w:rPr>
          <w:rFonts w:ascii="Arial" w:eastAsia="Arial" w:hAnsi="Arial" w:cs="Arial"/>
        </w:rPr>
        <w:t xml:space="preserve"> vorzustellen und zu diskutieren.</w:t>
      </w:r>
    </w:p>
    <w:p w:rsidR="004301E4" w:rsidRDefault="000D5D63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Parallel dazu hat sich die nationale Rechtsprechung zur Unterstützung</w:t>
      </w:r>
      <w:r>
        <w:rPr>
          <w:rFonts w:ascii="Arial" w:eastAsia="Arial" w:hAnsi="Arial" w:cs="Arial"/>
        </w:rPr>
        <w:t xml:space="preserve"> von (militärischen) DU-Opfern weiterentwickelt, insbesondere in Italien (siehe </w:t>
      </w:r>
      <w:hyperlink r:id="rId14">
        <w:r>
          <w:rPr>
            <w:rFonts w:ascii="Arial" w:eastAsia="Arial" w:hAnsi="Arial" w:cs="Arial"/>
            <w:color w:val="1155CC"/>
            <w:u w:val="single"/>
          </w:rPr>
          <w:t>hier</w:t>
        </w:r>
      </w:hyperlink>
      <w:r>
        <w:rPr>
          <w:rFonts w:ascii="Arial" w:eastAsia="Arial" w:hAnsi="Arial" w:cs="Arial"/>
        </w:rPr>
        <w:t xml:space="preserve">) und zuletzt </w:t>
      </w:r>
      <w:hyperlink r:id="rId15">
        <w:r>
          <w:rPr>
            <w:rFonts w:ascii="Arial" w:eastAsia="Arial" w:hAnsi="Arial" w:cs="Arial"/>
            <w:color w:val="1155CC"/>
            <w:u w:val="single"/>
          </w:rPr>
          <w:t>in Serbien</w:t>
        </w:r>
      </w:hyperlink>
      <w:r>
        <w:rPr>
          <w:rFonts w:ascii="Arial" w:eastAsia="Arial" w:hAnsi="Arial" w:cs="Arial"/>
        </w:rPr>
        <w:t>. Dort wurde ein kausaler Zusammenhang zwischen DU-Exposition und Gesundh</w:t>
      </w:r>
      <w:r>
        <w:rPr>
          <w:rFonts w:ascii="Arial" w:eastAsia="Arial" w:hAnsi="Arial" w:cs="Arial"/>
        </w:rPr>
        <w:t xml:space="preserve">eitsschäden anerkannt, wobei auf Menschenrechtsargumente Bezug genommen wurde, die auch die Grundlage für </w:t>
      </w:r>
      <w:r w:rsidR="00140C85">
        <w:rPr>
          <w:rFonts w:ascii="Arial" w:eastAsia="Arial" w:hAnsi="Arial" w:cs="Arial"/>
        </w:rPr>
        <w:t>vorhandene internationale</w:t>
      </w:r>
      <w:r>
        <w:rPr>
          <w:rFonts w:ascii="Arial" w:eastAsia="Arial" w:hAnsi="Arial" w:cs="Arial"/>
        </w:rPr>
        <w:t xml:space="preserve"> Verfahrensmechanismen bilden. </w:t>
      </w:r>
      <w:r w:rsidR="00D931D3">
        <w:rPr>
          <w:rFonts w:ascii="Arial" w:eastAsia="Arial" w:hAnsi="Arial" w:cs="Arial"/>
        </w:rPr>
        <w:t>Jetzt geht es um die Einrichtung</w:t>
      </w:r>
      <w:r>
        <w:rPr>
          <w:rFonts w:ascii="Arial" w:eastAsia="Arial" w:hAnsi="Arial" w:cs="Arial"/>
        </w:rPr>
        <w:t xml:space="preserve"> ein</w:t>
      </w:r>
      <w:r w:rsidR="00D931D3">
        <w:rPr>
          <w:rFonts w:ascii="Arial" w:eastAsia="Arial" w:hAnsi="Arial" w:cs="Arial"/>
        </w:rPr>
        <w:t>es</w:t>
      </w:r>
      <w:r w:rsidR="00033EEC">
        <w:rPr>
          <w:rFonts w:ascii="Arial" w:eastAsia="Arial" w:hAnsi="Arial" w:cs="Arial"/>
        </w:rPr>
        <w:t xml:space="preserve"> internationalen</w:t>
      </w:r>
      <w:r>
        <w:rPr>
          <w:rFonts w:ascii="Arial" w:eastAsia="Arial" w:hAnsi="Arial" w:cs="Arial"/>
        </w:rPr>
        <w:t xml:space="preserve"> System</w:t>
      </w:r>
      <w:r w:rsidR="00F6729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für rechtliche, medizinische und politische Hilfe f</w:t>
      </w:r>
      <w:r>
        <w:rPr>
          <w:rFonts w:ascii="Arial" w:eastAsia="Arial" w:hAnsi="Arial" w:cs="Arial"/>
        </w:rPr>
        <w:t>ür DU-Opfer</w:t>
      </w:r>
      <w:r>
        <w:rPr>
          <w:rFonts w:ascii="Arial" w:eastAsia="Arial" w:hAnsi="Arial" w:cs="Arial"/>
        </w:rPr>
        <w:t>.</w:t>
      </w:r>
    </w:p>
    <w:p w:rsidR="004301E4" w:rsidRDefault="000D5D63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Programm:</w:t>
      </w:r>
    </w:p>
    <w:p w:rsidR="004301E4" w:rsidRDefault="000D5D63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Begrüßung/Einführung: </w:t>
      </w:r>
      <w:r w:rsidR="00A15B47">
        <w:rPr>
          <w:rFonts w:ascii="Arial" w:eastAsia="Arial" w:hAnsi="Arial" w:cs="Arial"/>
        </w:rPr>
        <w:t>Prof. Manfred Mohr, K</w:t>
      </w:r>
      <w:r>
        <w:rPr>
          <w:rFonts w:ascii="Arial" w:eastAsia="Arial" w:hAnsi="Arial" w:cs="Arial"/>
        </w:rPr>
        <w:t>o-Vorsitzender ICBUW</w:t>
      </w:r>
    </w:p>
    <w:p w:rsidR="004301E4" w:rsidRDefault="000D5D63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Die Situation, rechtliche und andere Maßnahmen in: </w:t>
      </w:r>
      <w:r>
        <w:rPr>
          <w:rFonts w:ascii="Arial" w:eastAsia="Arial" w:hAnsi="Arial" w:cs="Arial"/>
        </w:rPr>
        <w:t xml:space="preserve">Italien (Rechtsanwalt Angelo </w:t>
      </w:r>
      <w:proofErr w:type="spellStart"/>
      <w:r>
        <w:rPr>
          <w:rFonts w:ascii="Arial" w:eastAsia="Arial" w:hAnsi="Arial" w:cs="Arial"/>
        </w:rPr>
        <w:t>Tartaglia</w:t>
      </w:r>
      <w:proofErr w:type="spellEnd"/>
      <w:r>
        <w:rPr>
          <w:rFonts w:ascii="Arial" w:eastAsia="Arial" w:hAnsi="Arial" w:cs="Arial"/>
        </w:rPr>
        <w:t xml:space="preserve">); Serbien (Rechtsanwalt Dr. </w:t>
      </w:r>
      <w:proofErr w:type="spellStart"/>
      <w:r>
        <w:rPr>
          <w:rFonts w:ascii="Arial" w:eastAsia="Arial" w:hAnsi="Arial" w:cs="Arial"/>
        </w:rPr>
        <w:t>Srdan</w:t>
      </w:r>
      <w:proofErr w:type="spellEnd"/>
      <w:r>
        <w:rPr>
          <w:rFonts w:ascii="Arial" w:eastAsia="Arial" w:hAnsi="Arial" w:cs="Arial"/>
        </w:rPr>
        <w:t xml:space="preserve"> Aleksic); Rumänien (ehema</w:t>
      </w:r>
      <w:r>
        <w:rPr>
          <w:rFonts w:ascii="Arial" w:eastAsia="Arial" w:hAnsi="Arial" w:cs="Arial"/>
        </w:rPr>
        <w:t>liger Soldat Dragos Nicolae Ghita); Schaffung eines internationalen Systems für Beratung und Hilfe (alle)</w:t>
      </w:r>
    </w:p>
    <w:p w:rsidR="004301E4" w:rsidRDefault="000D5D63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Diskussion</w:t>
      </w:r>
    </w:p>
    <w:p w:rsidR="004301E4" w:rsidRDefault="000D5D63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Schlussfolgerungen und weiteres Vorgehen: </w:t>
      </w:r>
      <w:r w:rsidR="00A15B47">
        <w:rPr>
          <w:rFonts w:ascii="Arial" w:eastAsia="Arial" w:hAnsi="Arial" w:cs="Arial"/>
        </w:rPr>
        <w:t xml:space="preserve">Ria </w:t>
      </w:r>
      <w:proofErr w:type="spellStart"/>
      <w:r w:rsidR="00A15B47">
        <w:rPr>
          <w:rFonts w:ascii="Arial" w:eastAsia="Arial" w:hAnsi="Arial" w:cs="Arial"/>
        </w:rPr>
        <w:t>Verjauw</w:t>
      </w:r>
      <w:proofErr w:type="spellEnd"/>
      <w:r w:rsidR="00A15B47">
        <w:rPr>
          <w:rFonts w:ascii="Arial" w:eastAsia="Arial" w:hAnsi="Arial" w:cs="Arial"/>
        </w:rPr>
        <w:t>, K</w:t>
      </w:r>
      <w:r>
        <w:rPr>
          <w:rFonts w:ascii="Arial" w:eastAsia="Arial" w:hAnsi="Arial" w:cs="Arial"/>
        </w:rPr>
        <w:t>o-Vorsitzende ICBUW</w:t>
      </w:r>
    </w:p>
    <w:sectPr w:rsidR="004301E4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63" w:rsidRDefault="000D5D63">
      <w:r>
        <w:separator/>
      </w:r>
    </w:p>
  </w:endnote>
  <w:endnote w:type="continuationSeparator" w:id="0">
    <w:p w:rsidR="000D5D63" w:rsidRDefault="000D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E4" w:rsidRDefault="000D5D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65"/>
        <w:tab w:val="left" w:pos="1042"/>
      </w:tabs>
      <w:jc w:val="center"/>
      <w:rPr>
        <w:rFonts w:ascii="Abadi" w:eastAsia="Abadi" w:hAnsi="Abadi" w:cs="Abadi"/>
        <w:color w:val="000000"/>
      </w:rPr>
    </w:pPr>
    <w:r>
      <w:rPr>
        <w:rFonts w:ascii="Abadi" w:eastAsia="Abadi" w:hAnsi="Abadi" w:cs="Abadi"/>
        <w:color w:val="000000"/>
      </w:rPr>
      <w:t xml:space="preserve"> </w: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12700</wp:posOffset>
              </wp:positionV>
              <wp:extent cx="0" cy="38100"/>
              <wp:effectExtent l="0" t="0" r="0" b="0"/>
              <wp:wrapNone/>
              <wp:docPr id="1706429851" name="Gerade Verbindung mit Pfeil 17064298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551247" y="3780000"/>
                        <a:ext cx="3589506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DFC8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12700</wp:posOffset>
              </wp:positionV>
              <wp:extent cx="0" cy="38100"/>
              <wp:effectExtent b="0" l="0" r="0" t="0"/>
              <wp:wrapNone/>
              <wp:docPr id="17064298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5669280" cy="310677"/>
              <wp:effectExtent l="0" t="0" r="0" b="0"/>
              <wp:wrapNone/>
              <wp:docPr id="1706429853" name="Rechteck 17064298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25648" y="3638949"/>
                        <a:ext cx="5640705" cy="2821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4301E4" w:rsidRDefault="000D5D6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badi" w:eastAsia="Abadi" w:hAnsi="Abadi" w:cs="Abadi"/>
                              <w:color w:val="000000"/>
                              <w:u w:val="single"/>
                            </w:rPr>
                            <w:t>info@icbuw.eu</w:t>
                          </w:r>
                          <w:r>
                            <w:rPr>
                              <w:rFonts w:ascii="Abadi" w:eastAsia="Abadi" w:hAnsi="Abadi" w:cs="Abad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badi" w:eastAsia="Abadi" w:hAnsi="Abadi" w:cs="Abadi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badi" w:eastAsia="Abadi" w:hAnsi="Abadi" w:cs="Abadi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badi" w:eastAsia="Abadi" w:hAnsi="Abadi" w:cs="Abadi"/>
                              <w:color w:val="000000"/>
                            </w:rPr>
                            <w:tab/>
                            <w:t>icbuw.eu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5669280" cy="310677"/>
              <wp:effectExtent b="0" l="0" r="0" t="0"/>
              <wp:wrapNone/>
              <wp:docPr id="170642985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9280" cy="3106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63" w:rsidRDefault="000D5D63">
      <w:r>
        <w:separator/>
      </w:r>
    </w:p>
  </w:footnote>
  <w:footnote w:type="continuationSeparator" w:id="0">
    <w:p w:rsidR="000D5D63" w:rsidRDefault="000D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E4" w:rsidRDefault="000D5D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badi" w:eastAsia="Abadi" w:hAnsi="Abadi" w:cs="Abadi"/>
        <w:color w:val="000000"/>
        <w:sz w:val="28"/>
        <w:szCs w:val="28"/>
      </w:rPr>
    </w:pPr>
    <w:r>
      <w:rPr>
        <w:noProof/>
        <w:lang w:val="de-DE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-923607</wp:posOffset>
              </wp:positionH>
              <wp:positionV relativeFrom="paragraph">
                <wp:posOffset>-447674</wp:posOffset>
              </wp:positionV>
              <wp:extent cx="7610793" cy="794885"/>
              <wp:effectExtent l="0" t="0" r="0" b="0"/>
              <wp:wrapNone/>
              <wp:docPr id="1706429852" name="Rechteck 17064298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86843" y="3376586"/>
                        <a:ext cx="7918315" cy="806828"/>
                      </a:xfrm>
                      <a:prstGeom prst="rect">
                        <a:avLst/>
                      </a:prstGeom>
                      <a:solidFill>
                        <a:srgbClr val="DFC8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301E4" w:rsidRDefault="000D5D6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badi" w:eastAsia="Abadi" w:hAnsi="Abadi" w:cs="Abadi"/>
                              <w:color w:val="000000"/>
                              <w:sz w:val="26"/>
                            </w:rPr>
                            <w:t>DIE INTERNATIONALE KOALITION ZUR ÄCHTUNG VON URANWAFFEN (ICBUW)</w:t>
                          </w:r>
                          <w:r>
                            <w:rPr>
                              <w:rFonts w:ascii="Abadi" w:eastAsia="Abadi" w:hAnsi="Abadi" w:cs="Abadi"/>
                              <w:color w:val="000000"/>
                              <w:sz w:val="26"/>
                            </w:rPr>
                            <w:tab/>
                          </w:r>
                          <w:r>
                            <w:rPr>
                              <w:rFonts w:ascii="Abadi" w:eastAsia="Abadi" w:hAnsi="Abadi" w:cs="Abadi"/>
                              <w:color w:val="000000"/>
                              <w:sz w:val="26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-923607</wp:posOffset>
              </wp:positionH>
              <wp:positionV relativeFrom="paragraph">
                <wp:posOffset>-447674</wp:posOffset>
              </wp:positionV>
              <wp:extent cx="7610793" cy="794885"/>
              <wp:effectExtent b="0" l="0" r="0" t="0"/>
              <wp:wrapNone/>
              <wp:docPr id="170642985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793" cy="794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de-DE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5775077</wp:posOffset>
          </wp:positionH>
          <wp:positionV relativeFrom="paragraph">
            <wp:posOffset>-341737</wp:posOffset>
          </wp:positionV>
          <wp:extent cx="522321" cy="522321"/>
          <wp:effectExtent l="0" t="0" r="0" b="0"/>
          <wp:wrapNone/>
          <wp:docPr id="1706429854" name="image1.jpg" descr="Ein Bild, das Zeichnung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Zeichnung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321" cy="522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78F6"/>
    <w:multiLevelType w:val="multilevel"/>
    <w:tmpl w:val="8D6CE5D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1E4"/>
    <w:rsid w:val="00033EEC"/>
    <w:rsid w:val="000D5D63"/>
    <w:rsid w:val="001005A4"/>
    <w:rsid w:val="00140C85"/>
    <w:rsid w:val="004301E4"/>
    <w:rsid w:val="00A15B47"/>
    <w:rsid w:val="00A3747C"/>
    <w:rsid w:val="00A74874"/>
    <w:rsid w:val="00AD5D0B"/>
    <w:rsid w:val="00D931D3"/>
    <w:rsid w:val="00F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uiPriority w:val="34"/>
    <w:qFormat/>
    <w:rsid w:val="0092440A"/>
    <w:pPr>
      <w:spacing w:after="200" w:line="276" w:lineRule="auto"/>
      <w:ind w:left="720"/>
      <w:contextualSpacing/>
    </w:pPr>
    <w:rPr>
      <w:sz w:val="22"/>
      <w:szCs w:val="22"/>
      <w:lang w:val="de-DE"/>
    </w:rPr>
  </w:style>
  <w:style w:type="paragraph" w:styleId="Kopfzeile">
    <w:name w:val="header"/>
    <w:link w:val="KopfzeileZchn"/>
    <w:uiPriority w:val="99"/>
    <w:unhideWhenUsed/>
    <w:rsid w:val="00FD7D24"/>
    <w:pPr>
      <w:tabs>
        <w:tab w:val="center" w:pos="4513"/>
        <w:tab w:val="right" w:pos="9026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D7D24"/>
  </w:style>
  <w:style w:type="paragraph" w:styleId="Fuzeile">
    <w:name w:val="footer"/>
    <w:link w:val="FuzeileZchn"/>
    <w:uiPriority w:val="99"/>
    <w:unhideWhenUsed/>
    <w:rsid w:val="00FD7D24"/>
    <w:pPr>
      <w:tabs>
        <w:tab w:val="center" w:pos="4513"/>
        <w:tab w:val="right" w:pos="9026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D7D24"/>
  </w:style>
  <w:style w:type="character" w:styleId="Hyperlink">
    <w:name w:val="Hyperlink"/>
    <w:basedOn w:val="Absatz-Standardschriftart"/>
    <w:uiPriority w:val="99"/>
    <w:unhideWhenUsed/>
    <w:rsid w:val="00FD7D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FD7D2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53E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uiPriority w:val="34"/>
    <w:qFormat/>
    <w:rsid w:val="0092440A"/>
    <w:pPr>
      <w:spacing w:after="200" w:line="276" w:lineRule="auto"/>
      <w:ind w:left="720"/>
      <w:contextualSpacing/>
    </w:pPr>
    <w:rPr>
      <w:sz w:val="22"/>
      <w:szCs w:val="22"/>
      <w:lang w:val="de-DE"/>
    </w:rPr>
  </w:style>
  <w:style w:type="paragraph" w:styleId="Kopfzeile">
    <w:name w:val="header"/>
    <w:link w:val="KopfzeileZchn"/>
    <w:uiPriority w:val="99"/>
    <w:unhideWhenUsed/>
    <w:rsid w:val="00FD7D24"/>
    <w:pPr>
      <w:tabs>
        <w:tab w:val="center" w:pos="4513"/>
        <w:tab w:val="right" w:pos="9026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D7D24"/>
  </w:style>
  <w:style w:type="paragraph" w:styleId="Fuzeile">
    <w:name w:val="footer"/>
    <w:link w:val="FuzeileZchn"/>
    <w:uiPriority w:val="99"/>
    <w:unhideWhenUsed/>
    <w:rsid w:val="00FD7D24"/>
    <w:pPr>
      <w:tabs>
        <w:tab w:val="center" w:pos="4513"/>
        <w:tab w:val="right" w:pos="9026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D7D24"/>
  </w:style>
  <w:style w:type="character" w:styleId="Hyperlink">
    <w:name w:val="Hyperlink"/>
    <w:basedOn w:val="Absatz-Standardschriftart"/>
    <w:uiPriority w:val="99"/>
    <w:unhideWhenUsed/>
    <w:rsid w:val="00FD7D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FD7D2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53E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cbuw.eu/wp-content/uploads/2019/03/ICBUW-Draft-Uranium-Weapons-Conventio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al.un.org/ilc/texts/instruments/english/draft_articles/8_7_202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un.org/doc/undoc/gen/n24/388/73/pdf/n243887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cbuw.eu/landmark-court-ruling-in-pancevo-republic-of-serbia-found-liable-for-failing-to-protect-former-soldier-from-depleted-uranium-exposure/" TargetMode="External"/><Relationship Id="rId10" Type="http://schemas.openxmlformats.org/officeDocument/2006/relationships/hyperlink" Target="https://www.icbuw.eu/e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83804993070" TargetMode="External"/><Relationship Id="rId14" Type="http://schemas.openxmlformats.org/officeDocument/2006/relationships/hyperlink" Target="https://www.euronews.com/2023/04/05/uk-to-send-depleted-uranium-shells-to-ukraine-despite-health-concer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9JRWHP7puNSjYU7XQIeSez136Q==">CgMxLjAyDmgud3lkandzbG83azRiMg5oLmdkeGc2eHc1OGNmeTgAciExR2JJZXgwM3FQLXZWbFU1bmtuRDBVMGxhTFN2RklaSW4=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jumamo</dc:creator>
  <cp:lastModifiedBy>jumamo</cp:lastModifiedBy>
  <cp:revision>10</cp:revision>
  <dcterms:created xsi:type="dcterms:W3CDTF">2025-08-06T21:10:00Z</dcterms:created>
  <dcterms:modified xsi:type="dcterms:W3CDTF">2025-08-06T21:20:00Z</dcterms:modified>
</cp:coreProperties>
</file>